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1339DA">
      <w:pPr>
        <w:autoSpaceDN w:val="0"/>
        <w:contextualSpacing/>
        <w:jc w:val="right"/>
        <w:rPr>
          <w:bCs/>
          <w:sz w:val="22"/>
          <w:szCs w:val="22"/>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0" w:name="_Toc379831243"/>
      <w:r w:rsidRPr="00536BE9">
        <w:rPr>
          <w:b/>
          <w:sz w:val="28"/>
          <w:szCs w:val="26"/>
        </w:rPr>
        <w:lastRenderedPageBreak/>
        <w:t>Оглавление</w:t>
      </w:r>
    </w:p>
    <w:p w:rsidR="006A44F8" w:rsidRPr="006A44F8" w:rsidRDefault="004C5B21">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005D75BF"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6</w:t>
        </w:r>
        <w:r w:rsidRPr="006A44F8">
          <w:rPr>
            <w:rFonts w:ascii="Times New Roman" w:hAnsi="Times New Roman"/>
            <w:b w:val="0"/>
            <w:noProof/>
            <w:webHidden/>
            <w:sz w:val="26"/>
            <w:szCs w:val="26"/>
          </w:rPr>
          <w:fldChar w:fldCharType="end"/>
        </w:r>
      </w:hyperlink>
    </w:p>
    <w:p w:rsidR="006A44F8" w:rsidRPr="006A44F8" w:rsidRDefault="004C5B21">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7</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8</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11</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12</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14</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15</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24</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26</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31</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33</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35</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37</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41</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46</w:t>
        </w:r>
        <w:r w:rsidRPr="006A44F8">
          <w:rPr>
            <w:rFonts w:ascii="Times New Roman" w:hAnsi="Times New Roman"/>
            <w:b w:val="0"/>
            <w:noProof/>
            <w:webHidden/>
            <w:sz w:val="26"/>
            <w:szCs w:val="26"/>
          </w:rPr>
          <w:fldChar w:fldCharType="end"/>
        </w:r>
      </w:hyperlink>
    </w:p>
    <w:p w:rsidR="006A44F8" w:rsidRPr="006A44F8" w:rsidRDefault="004C5B21">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50</w:t>
        </w:r>
        <w:r w:rsidRPr="006A44F8">
          <w:rPr>
            <w:rFonts w:ascii="Times New Roman" w:hAnsi="Times New Roman"/>
            <w:b w:val="0"/>
            <w:noProof/>
            <w:webHidden/>
            <w:sz w:val="26"/>
            <w:szCs w:val="26"/>
          </w:rPr>
          <w:fldChar w:fldCharType="end"/>
        </w:r>
      </w:hyperlink>
    </w:p>
    <w:p w:rsidR="006A44F8" w:rsidRPr="006A44F8" w:rsidRDefault="004C5B21"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Pr="006A44F8">
          <w:rPr>
            <w:b w:val="0"/>
            <w:webHidden/>
            <w:sz w:val="26"/>
            <w:szCs w:val="26"/>
          </w:rPr>
          <w:fldChar w:fldCharType="begin"/>
        </w:r>
        <w:r w:rsidR="006A44F8" w:rsidRPr="006A44F8">
          <w:rPr>
            <w:b w:val="0"/>
            <w:webHidden/>
            <w:sz w:val="26"/>
            <w:szCs w:val="26"/>
          </w:rPr>
          <w:instrText xml:space="preserve"> PAGEREF _Toc528068377 \h </w:instrText>
        </w:r>
        <w:r w:rsidRPr="006A44F8">
          <w:rPr>
            <w:b w:val="0"/>
            <w:webHidden/>
            <w:sz w:val="26"/>
            <w:szCs w:val="26"/>
          </w:rPr>
        </w:r>
        <w:r w:rsidRPr="006A44F8">
          <w:rPr>
            <w:b w:val="0"/>
            <w:webHidden/>
            <w:sz w:val="26"/>
            <w:szCs w:val="26"/>
          </w:rPr>
          <w:fldChar w:fldCharType="separate"/>
        </w:r>
        <w:r w:rsidR="004F1DB0">
          <w:rPr>
            <w:b w:val="0"/>
            <w:webHidden/>
            <w:sz w:val="26"/>
            <w:szCs w:val="26"/>
          </w:rPr>
          <w:t>51</w:t>
        </w:r>
        <w:r w:rsidRPr="006A44F8">
          <w:rPr>
            <w:b w:val="0"/>
            <w:webHidden/>
            <w:sz w:val="26"/>
            <w:szCs w:val="26"/>
          </w:rPr>
          <w:fldChar w:fldCharType="end"/>
        </w:r>
      </w:hyperlink>
    </w:p>
    <w:p w:rsidR="005D75BF" w:rsidRPr="006943F7" w:rsidDel="005D75BF" w:rsidRDefault="004C5B21"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526763651"/>
      <w:bookmarkStart w:id="2" w:name="_Toc528068353"/>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bookmarkEnd w:id="2"/>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526763652"/>
      <w:bookmarkStart w:id="4" w:name="_Toc528068354"/>
      <w:r w:rsidRPr="007A5559">
        <w:rPr>
          <w:rFonts w:ascii="Times New Roman" w:hAnsi="Times New Roman"/>
          <w:b/>
          <w:sz w:val="28"/>
        </w:rPr>
        <w:t>1.2. Комиссии по проведению и проверке итогового сочинения (изложения)</w:t>
      </w:r>
      <w:bookmarkEnd w:id="3"/>
      <w:r w:rsidR="0039717F">
        <w:rPr>
          <w:rFonts w:ascii="Times New Roman" w:hAnsi="Times New Roman"/>
          <w:b/>
          <w:sz w:val="28"/>
        </w:rPr>
        <w:t xml:space="preserve"> в образовательной организации</w:t>
      </w:r>
      <w:bookmarkEnd w:id="4"/>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необходимоприказом сформировать составы комиссий образовательной организации</w:t>
      </w:r>
      <w:r w:rsidR="00187196" w:rsidRPr="009F4A3B">
        <w:rPr>
          <w:sz w:val="26"/>
          <w:szCs w:val="26"/>
        </w:rPr>
        <w:t>.</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sidRPr="00D65D25">
        <w:rPr>
          <w:i/>
          <w:color w:val="000000"/>
          <w:sz w:val="26"/>
          <w:szCs w:val="26"/>
        </w:rPr>
        <w:t>Комиссия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8D13E4" w:rsidRPr="00D65D25">
        <w:rPr>
          <w:color w:val="000000"/>
          <w:sz w:val="26"/>
          <w:szCs w:val="26"/>
        </w:rPr>
        <w:t>проведенияитогового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5" w:name="_Toc526763653"/>
      <w:bookmarkStart w:id="6"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5"/>
      <w:bookmarkEnd w:id="6"/>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Pr>
          <w:sz w:val="26"/>
          <w:szCs w:val="26"/>
        </w:rPr>
        <w:t>по проведению</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Pr>
          <w:sz w:val="26"/>
          <w:szCs w:val="26"/>
        </w:rPr>
        <w:t>по проведению</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rPr>
          <w:sz w:val="26"/>
          <w:szCs w:val="26"/>
        </w:rPr>
        <w:t>комиссии</w:t>
      </w:r>
      <w:r w:rsidR="00EC6E0C">
        <w:rPr>
          <w:sz w:val="26"/>
          <w:szCs w:val="26"/>
        </w:rPr>
        <w:t xml:space="preserve"> по проведению</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rPr>
          <w:sz w:val="26"/>
          <w:szCs w:val="26"/>
        </w:rPr>
        <w:t>из числа членов комиссии</w:t>
      </w:r>
      <w:r w:rsidR="00EC6E0C">
        <w:rPr>
          <w:sz w:val="26"/>
          <w:szCs w:val="26"/>
        </w:rPr>
        <w:t>по проведению</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7" w:name="_Toc526763654"/>
      <w:bookmarkStart w:id="8" w:name="_Toc528068356"/>
      <w:r w:rsidRPr="00CC23B0">
        <w:rPr>
          <w:rFonts w:ascii="Times New Roman" w:hAnsi="Times New Roman"/>
          <w:b/>
          <w:sz w:val="28"/>
        </w:rPr>
        <w:lastRenderedPageBreak/>
        <w:t>Категории участников итогового сочинения (изложения)</w:t>
      </w:r>
      <w:bookmarkEnd w:id="7"/>
      <w:bookmarkEnd w:id="8"/>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на обучение по программам бакалавриата и специалитета</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9"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9"/>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0" w:name="_Toc526763655"/>
      <w:bookmarkStart w:id="11"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0"/>
      <w:bookmarkEnd w:id="11"/>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2" w:name="_Toc526763656"/>
      <w:bookmarkStart w:id="13"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FC018D" w:rsidRPr="00CC23B0">
        <w:rPr>
          <w:rFonts w:ascii="Times New Roman" w:hAnsi="Times New Roman"/>
          <w:b/>
          <w:sz w:val="28"/>
        </w:rPr>
        <w:t>итогового сочинения (изложения)</w:t>
      </w:r>
      <w:bookmarkEnd w:id="12"/>
      <w:bookmarkEnd w:id="13"/>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Pr="00810D66">
        <w:rPr>
          <w:sz w:val="26"/>
          <w:szCs w:val="26"/>
        </w:rPr>
        <w:t>итогового сочинения (изложения) составляет  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4" w:name="_Toc526763657"/>
      <w:bookmarkStart w:id="15"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4"/>
      <w:bookmarkEnd w:id="15"/>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6" w:name="_Toc526763658"/>
      <w:bookmarkStart w:id="17" w:name="_Toc528068360"/>
      <w:r w:rsidRPr="003A4E1E">
        <w:rPr>
          <w:rFonts w:ascii="Times New Roman" w:hAnsi="Times New Roman"/>
          <w:b/>
          <w:sz w:val="28"/>
        </w:rPr>
        <w:t>1.8. Срок действия итогового сочинения</w:t>
      </w:r>
      <w:bookmarkEnd w:id="16"/>
      <w:bookmarkEnd w:id="17"/>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8" w:name="_Toc526763659"/>
      <w:bookmarkStart w:id="19"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8"/>
      <w:bookmarkEnd w:id="19"/>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20" w:name="_Toc526763660"/>
      <w:bookmarkStart w:id="21" w:name="_Toc528068362"/>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0"/>
      <w:bookmarkEnd w:id="21"/>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w:t>
      </w:r>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2" w:name="_Toc526763661"/>
      <w:bookmarkStart w:id="23"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2"/>
      <w:bookmarkEnd w:id="2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4" w:name="_Toc526763662"/>
      <w:bookmarkStart w:id="25"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4"/>
      <w:bookmarkEnd w:id="25"/>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Pr="000F36EC">
        <w:rPr>
          <w:sz w:val="26"/>
          <w:szCs w:val="26"/>
        </w:rPr>
        <w:t xml:space="preserve">времени </w:t>
      </w:r>
      <w:r w:rsidR="00B4045A">
        <w:rPr>
          <w:sz w:val="26"/>
          <w:szCs w:val="26"/>
        </w:rPr>
        <w:t>завершения</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Pr="000F36EC">
        <w:rPr>
          <w:sz w:val="26"/>
          <w:szCs w:val="26"/>
        </w:rPr>
        <w:t>ставят «Z» на полях бланков записи, оставшихся незаполненными (в том числе и на его оборотной стороне</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Pr="005E6775">
        <w:rPr>
          <w:sz w:val="26"/>
          <w:szCs w:val="26"/>
        </w:rPr>
        <w:t xml:space="preserve">итогового сочинения (изложения) комиссии </w:t>
      </w:r>
      <w:r w:rsidR="004B7900">
        <w:rPr>
          <w:sz w:val="26"/>
          <w:szCs w:val="26"/>
        </w:rPr>
        <w:t>по проверке</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6" w:name="_Toc526763663"/>
      <w:bookmarkStart w:id="27" w:name="_Toc528068365"/>
      <w:r w:rsidRPr="003A4E1E">
        <w:rPr>
          <w:rFonts w:ascii="Times New Roman" w:hAnsi="Times New Roman"/>
          <w:color w:val="auto"/>
          <w:sz w:val="28"/>
        </w:rPr>
        <w:t xml:space="preserve">3. </w:t>
      </w:r>
      <w:bookmarkStart w:id="28"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6"/>
      <w:bookmarkEnd w:id="27"/>
      <w:bookmarkEnd w:id="28"/>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формат А4 с размером шрифта не менее 18 Bold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00744128">
        <w:rPr>
          <w:sz w:val="26"/>
          <w:szCs w:val="26"/>
        </w:rPr>
        <w:t>организации</w:t>
      </w:r>
      <w:r w:rsidR="00744128" w:rsidRPr="00A7339B">
        <w:rPr>
          <w:sz w:val="26"/>
          <w:szCs w:val="26"/>
        </w:rPr>
        <w:t>, в которо</w:t>
      </w:r>
      <w:r w:rsidR="00744128">
        <w:rPr>
          <w:sz w:val="26"/>
          <w:szCs w:val="26"/>
        </w:rPr>
        <w:t>й</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8"/>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29" w:name="_Toc526763664"/>
      <w:bookmarkStart w:id="30" w:name="_Toc528068366"/>
      <w:bookmarkStart w:id="31" w:name="_Toc349652040"/>
      <w:bookmarkStart w:id="32" w:name="_Toc350962476"/>
      <w:bookmarkStart w:id="33" w:name="_Toc379831246"/>
      <w:bookmarkStart w:id="34"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29"/>
      <w:bookmarkEnd w:id="30"/>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5" w:name="_Toc526763665"/>
      <w:bookmarkStart w:id="36"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7" w:name="_Toc349652041"/>
      <w:bookmarkEnd w:id="31"/>
      <w:r w:rsidR="0012411E" w:rsidRPr="003A4E1E">
        <w:rPr>
          <w:rFonts w:ascii="Times New Roman" w:hAnsi="Times New Roman"/>
          <w:b/>
          <w:sz w:val="28"/>
        </w:rPr>
        <w:t xml:space="preserve"> для руководителя </w:t>
      </w:r>
      <w:bookmarkEnd w:id="32"/>
      <w:bookmarkEnd w:id="33"/>
      <w:bookmarkEnd w:id="37"/>
      <w:r w:rsidR="0012411E" w:rsidRPr="003A4E1E">
        <w:rPr>
          <w:rFonts w:ascii="Times New Roman" w:hAnsi="Times New Roman"/>
          <w:b/>
          <w:sz w:val="28"/>
        </w:rPr>
        <w:t>образовательной организации</w:t>
      </w:r>
      <w:bookmarkEnd w:id="34"/>
      <w:bookmarkEnd w:id="35"/>
      <w:bookmarkEnd w:id="36"/>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D65D25" w:rsidRPr="009207BD">
        <w:rPr>
          <w:b w:val="0"/>
          <w:color w:val="000000"/>
          <w:sz w:val="26"/>
          <w:szCs w:val="26"/>
        </w:rPr>
        <w:t>руководител</w:t>
      </w:r>
      <w:r w:rsidR="00D65D25">
        <w:rPr>
          <w:b w:val="0"/>
          <w:color w:val="000000"/>
          <w:sz w:val="26"/>
          <w:szCs w:val="26"/>
        </w:rPr>
        <w:t>ю</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AD0349">
        <w:rPr>
          <w:sz w:val="26"/>
          <w:szCs w:val="26"/>
        </w:rPr>
        <w:t xml:space="preserve">для </w:t>
      </w:r>
      <w:r w:rsidR="0012411E" w:rsidRPr="009207BD">
        <w:rPr>
          <w:sz w:val="26"/>
          <w:szCs w:val="26"/>
        </w:rPr>
        <w:t>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7"/>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Pr="00A3349A">
        <w:rPr>
          <w:sz w:val="26"/>
          <w:szCs w:val="26"/>
        </w:rPr>
        <w:t>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38" w:name="_Toc401159029"/>
      <w:bookmarkStart w:id="39" w:name="_Toc526763666"/>
      <w:bookmarkStart w:id="40" w:name="_Toc52806836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8"/>
      <w:bookmarkEnd w:id="39"/>
      <w:bookmarkEnd w:id="40"/>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1" w:name="_Toc401159030"/>
      <w:bookmarkStart w:id="42" w:name="_Toc526763667"/>
      <w:bookmarkStart w:id="43" w:name="_Toc52806836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1"/>
      <w:bookmarkEnd w:id="42"/>
      <w:bookmarkEnd w:id="43"/>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w:t>
      </w:r>
      <w:r w:rsidR="004037E7">
        <w:rPr>
          <w:b/>
          <w:color w:val="000000"/>
          <w:sz w:val="26"/>
          <w:szCs w:val="26"/>
        </w:rPr>
        <w:t xml:space="preserve"> по проведению</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Pr>
          <w:sz w:val="26"/>
          <w:szCs w:val="26"/>
        </w:rPr>
        <w:t xml:space="preserve">итогового сочинения (изложения)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lastRenderedPageBreak/>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E00FCC" w:rsidRPr="00FC6C2B">
        <w:rPr>
          <w:sz w:val="26"/>
          <w:szCs w:val="26"/>
        </w:rPr>
        <w:t xml:space="preserve">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lastRenderedPageBreak/>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rPr>
          <w:sz w:val="26"/>
          <w:szCs w:val="26"/>
        </w:rPr>
        <w:t>Интервал  между чтением составляет 2 минуты.</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lastRenderedPageBreak/>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sidR="00727FFB" w:rsidRPr="003E2338">
        <w:rPr>
          <w:sz w:val="26"/>
          <w:szCs w:val="26"/>
        </w:rPr>
        <w:t>итогового сочинения (изложения)</w:t>
      </w:r>
      <w:r w:rsidRPr="003E2338">
        <w:rPr>
          <w:sz w:val="26"/>
          <w:szCs w:val="26"/>
        </w:rPr>
        <w:t xml:space="preserve">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3E2338">
        <w:rPr>
          <w:sz w:val="26"/>
          <w:szCs w:val="26"/>
        </w:rPr>
        <w:lastRenderedPageBreak/>
        <w:t>(ОВЗ)».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Pr="00FC6C2B">
        <w:rPr>
          <w:sz w:val="26"/>
          <w:szCs w:val="26"/>
        </w:rPr>
        <w:t>в бланки записи</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sidRPr="00A7339B">
        <w:rPr>
          <w:sz w:val="26"/>
          <w:szCs w:val="26"/>
        </w:rPr>
        <w:t>(дополнительные бланки записи),</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4" w:name="_Toc526763668"/>
      <w:bookmarkStart w:id="45" w:name="_Toc52806837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44"/>
      <w:bookmarkEnd w:id="45"/>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rPr>
          <w:sz w:val="26"/>
          <w:szCs w:val="26"/>
          <w:lang w:eastAsia="en-US"/>
        </w:rPr>
        <w:t>создать</w:t>
      </w:r>
      <w:r w:rsidRPr="003D716F">
        <w:rPr>
          <w:sz w:val="26"/>
          <w:szCs w:val="26"/>
          <w:lang w:eastAsia="en-US"/>
        </w:rPr>
        <w:t>условия,учитывающие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4C5B21" w:rsidP="00F21C44">
      <w:pPr>
        <w:pBdr>
          <w:bottom w:val="single" w:sz="12" w:space="1" w:color="auto"/>
        </w:pBdr>
        <w:spacing w:before="240" w:after="120" w:line="276" w:lineRule="auto"/>
        <w:jc w:val="both"/>
      </w:pPr>
      <w:r>
        <w:rPr>
          <w:noProof/>
        </w:rPr>
        <w:pict>
          <v:rect 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00F21C44" w:rsidRPr="003D716F">
        <w:t xml:space="preserve">        Копией рекомендаций психолого-медико-педагогической комиссии</w:t>
      </w:r>
    </w:p>
    <w:p w:rsidR="00F21C44" w:rsidRPr="003D716F" w:rsidRDefault="004C5B21" w:rsidP="00F21C44">
      <w:pPr>
        <w:pBdr>
          <w:bottom w:val="single" w:sz="12" w:space="1" w:color="auto"/>
        </w:pBdr>
        <w:spacing w:before="240" w:after="120" w:line="276" w:lineRule="auto"/>
        <w:jc w:val="both"/>
        <w:rPr>
          <w:sz w:val="26"/>
          <w:szCs w:val="26"/>
          <w:lang w:eastAsia="en-US"/>
        </w:rPr>
      </w:pPr>
      <w:r w:rsidRPr="004C5B21">
        <w:rPr>
          <w:noProof/>
        </w:rPr>
        <w:pict>
          <v:rect id="_x0000_s1043"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4C5B21" w:rsidP="00F21C44">
      <w:pPr>
        <w:spacing w:before="240" w:after="120" w:line="276" w:lineRule="auto"/>
        <w:jc w:val="both"/>
        <w:rPr>
          <w:szCs w:val="26"/>
          <w:lang w:eastAsia="en-US"/>
        </w:rPr>
      </w:pPr>
      <w:r w:rsidRPr="004C5B21">
        <w:rPr>
          <w:noProof/>
        </w:rPr>
        <w:lastRenderedPageBreak/>
        <w:pict>
          <v:rect id="_x0000_s1042"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4C5B21" w:rsidP="00F21C44">
      <w:pPr>
        <w:pBdr>
          <w:bottom w:val="single" w:sz="12" w:space="0" w:color="auto"/>
        </w:pBdr>
        <w:spacing w:before="240" w:after="120" w:line="276" w:lineRule="auto"/>
        <w:jc w:val="both"/>
        <w:rPr>
          <w:sz w:val="26"/>
          <w:szCs w:val="26"/>
          <w:lang w:eastAsia="en-US"/>
        </w:rPr>
      </w:pPr>
      <w:r w:rsidRPr="004C5B21">
        <w:rPr>
          <w:noProof/>
        </w:rPr>
        <w:pict>
          <v:rect id="_x0000_s1041"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sidRPr="004C5B21">
        <w:rPr>
          <w:noProof/>
        </w:rPr>
        <w:pict>
          <v:line id="_x0000_s1040" style="position:absolute;left:0;text-align:left;z-index:25165619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F21C44" w:rsidRPr="003D716F" w:rsidRDefault="004C5B21" w:rsidP="00F21C44">
      <w:pPr>
        <w:pBdr>
          <w:bottom w:val="single" w:sz="12" w:space="0" w:color="auto"/>
        </w:pBdr>
        <w:spacing w:before="240" w:after="120" w:line="276" w:lineRule="auto"/>
        <w:jc w:val="both"/>
        <w:rPr>
          <w:sz w:val="26"/>
          <w:szCs w:val="26"/>
          <w:lang w:eastAsia="en-US"/>
        </w:rPr>
      </w:pPr>
      <w:r w:rsidRPr="004C5B21">
        <w:rPr>
          <w:noProof/>
        </w:rPr>
        <w:pict>
          <v:line id="_x0000_s1039" style="position:absolute;left:0;text-align:left;z-index:25165516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F21C44" w:rsidRPr="003D716F" w:rsidRDefault="004C5B21" w:rsidP="00F21C44">
      <w:pPr>
        <w:pBdr>
          <w:bottom w:val="single" w:sz="12" w:space="0" w:color="auto"/>
        </w:pBdr>
        <w:spacing w:before="240" w:after="120" w:line="276" w:lineRule="auto"/>
        <w:jc w:val="both"/>
        <w:rPr>
          <w:sz w:val="26"/>
          <w:szCs w:val="26"/>
          <w:lang w:eastAsia="en-US"/>
        </w:rPr>
      </w:pPr>
      <w:r w:rsidRPr="004C5B21">
        <w:rPr>
          <w:noProof/>
        </w:rPr>
        <w:pict>
          <v:line id="_x0000_s1038" style="position:absolute;left:0;text-align:left;z-index:25165414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6" w:name="_Toc401071244"/>
      <w:bookmarkStart w:id="47" w:name="_Toc401159034"/>
      <w:bookmarkStart w:id="48" w:name="_Toc526763669"/>
      <w:bookmarkStart w:id="49" w:name="_Toc52806837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46"/>
      <w:bookmarkEnd w:id="47"/>
      <w:bookmarkEnd w:id="48"/>
      <w:bookmarkEnd w:id="49"/>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4C5B21" w:rsidP="00952EA2">
      <w:pPr>
        <w:jc w:val="both"/>
        <w:rPr>
          <w:sz w:val="26"/>
          <w:szCs w:val="26"/>
        </w:rPr>
      </w:pPr>
      <w:r>
        <w:rPr>
          <w:noProof/>
          <w:sz w:val="26"/>
          <w:szCs w:val="26"/>
        </w:rPr>
        <w:pict>
          <v:rect id="Rectangle 60" o:spid="_x0000_s1037" style="position:absolute;left:0;text-align:left;margin-left:.85pt;margin-top:1.1pt;width:20.25pt;height:18.75pt;z-index:-251654144;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952EA2">
        <w:rPr>
          <w:sz w:val="26"/>
          <w:szCs w:val="26"/>
        </w:rPr>
        <w:t>в первую среду декабря;</w:t>
      </w:r>
    </w:p>
    <w:p w:rsidR="00952EA2" w:rsidRDefault="004C5B21" w:rsidP="00952EA2">
      <w:pPr>
        <w:jc w:val="both"/>
        <w:rPr>
          <w:sz w:val="26"/>
          <w:szCs w:val="26"/>
        </w:rPr>
      </w:pPr>
      <w:r>
        <w:rPr>
          <w:noProof/>
          <w:sz w:val="26"/>
          <w:szCs w:val="26"/>
        </w:rPr>
        <w:pict>
          <v:rect id="Rectangle 59" o:spid="_x0000_s1036" style="position:absolute;left:0;text-align:left;margin-left:-30pt;margin-top:12.3pt;width:20.25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952EA2" w:rsidRDefault="00952EA2" w:rsidP="00952EA2">
      <w:pPr>
        <w:jc w:val="both"/>
        <w:rPr>
          <w:sz w:val="26"/>
          <w:szCs w:val="26"/>
        </w:rPr>
      </w:pPr>
      <w:r>
        <w:rPr>
          <w:sz w:val="26"/>
          <w:szCs w:val="26"/>
        </w:rPr>
        <w:t xml:space="preserve">         в первую среду февраля;</w:t>
      </w:r>
    </w:p>
    <w:p w:rsidR="00952EA2" w:rsidRDefault="004C5B21" w:rsidP="00952EA2">
      <w:pPr>
        <w:jc w:val="both"/>
        <w:rPr>
          <w:sz w:val="26"/>
          <w:szCs w:val="26"/>
        </w:rPr>
      </w:pPr>
      <w:r>
        <w:rPr>
          <w:noProof/>
          <w:sz w:val="26"/>
          <w:szCs w:val="26"/>
        </w:rPr>
        <w:pict>
          <v:rect id="Rectangle 58" o:spid="_x0000_s1035" style="position:absolute;left:0;text-align:left;margin-left:.85pt;margin-top:10.9pt;width:20.25pt;height:1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00F7006E" w:rsidRPr="00F7006E">
        <w:rPr>
          <w:sz w:val="26"/>
          <w:szCs w:val="26"/>
          <w:lang w:eastAsia="en-US"/>
        </w:rPr>
        <w:t xml:space="preserve">создать </w:t>
      </w:r>
      <w:r w:rsidRPr="003D716F">
        <w:rPr>
          <w:sz w:val="26"/>
          <w:szCs w:val="26"/>
          <w:lang w:eastAsia="en-US"/>
        </w:rPr>
        <w:t>условия,учитывающие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4C5B21" w:rsidP="00114085">
      <w:pPr>
        <w:pBdr>
          <w:bottom w:val="single" w:sz="12" w:space="1" w:color="auto"/>
        </w:pBdr>
        <w:spacing w:before="240" w:after="120" w:line="276" w:lineRule="auto"/>
        <w:jc w:val="both"/>
      </w:pPr>
      <w:r>
        <w:rPr>
          <w:noProof/>
        </w:rPr>
        <w:pict>
          <v:rect id="Прямоугольник 6" o:spid="_x0000_s1034"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114085" w:rsidRPr="003D716F">
        <w:t xml:space="preserve">        Копией рекомендаций психолого-медико-педагогической комиссии</w:t>
      </w:r>
    </w:p>
    <w:p w:rsidR="00114085" w:rsidRPr="003D716F" w:rsidRDefault="004C5B21" w:rsidP="006B25FC">
      <w:pPr>
        <w:pBdr>
          <w:bottom w:val="single" w:sz="12" w:space="1" w:color="auto"/>
        </w:pBdr>
        <w:spacing w:before="240" w:after="120" w:line="360" w:lineRule="auto"/>
        <w:jc w:val="both"/>
        <w:rPr>
          <w:sz w:val="26"/>
          <w:szCs w:val="26"/>
          <w:lang w:eastAsia="en-US"/>
        </w:rPr>
      </w:pPr>
      <w:r w:rsidRPr="004C5B21">
        <w:rPr>
          <w:noProof/>
        </w:rPr>
        <w:lastRenderedPageBreak/>
        <w:pict>
          <v:rect id="Прямоугольник 7" o:spid="_x0000_s1033"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4C5B21" w:rsidP="00114085">
      <w:pPr>
        <w:spacing w:before="240" w:after="120" w:line="276" w:lineRule="auto"/>
        <w:jc w:val="both"/>
        <w:rPr>
          <w:szCs w:val="26"/>
          <w:lang w:eastAsia="en-US"/>
        </w:rPr>
      </w:pPr>
      <w:r w:rsidRPr="004C5B21">
        <w:rPr>
          <w:noProof/>
        </w:rPr>
        <w:pict>
          <v:rect id="Прямоугольник 9" o:spid="_x0000_s1032"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4C5B21" w:rsidP="00114085">
      <w:pPr>
        <w:pBdr>
          <w:bottom w:val="single" w:sz="12" w:space="0" w:color="auto"/>
        </w:pBdr>
        <w:spacing w:before="240" w:after="120" w:line="276" w:lineRule="auto"/>
        <w:jc w:val="both"/>
        <w:rPr>
          <w:sz w:val="26"/>
          <w:szCs w:val="26"/>
          <w:lang w:eastAsia="en-US"/>
        </w:rPr>
      </w:pPr>
      <w:r w:rsidRPr="004C5B21">
        <w:rPr>
          <w:noProof/>
        </w:rPr>
        <w:pict>
          <v:rect id="Прямоугольник 17" o:spid="_x0000_s103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4C5B21">
        <w:rPr>
          <w:noProof/>
        </w:rPr>
        <w:pict>
          <v:line id="Прямая соединительная линия 20" o:spid="_x0000_s1030" style="position:absolute;left:0;text-align:left;z-index:25165107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114085" w:rsidRPr="003D716F" w:rsidRDefault="004C5B21" w:rsidP="00114085">
      <w:pPr>
        <w:pBdr>
          <w:bottom w:val="single" w:sz="12" w:space="0" w:color="auto"/>
        </w:pBdr>
        <w:spacing w:before="240" w:after="120" w:line="276" w:lineRule="auto"/>
        <w:jc w:val="both"/>
        <w:rPr>
          <w:sz w:val="26"/>
          <w:szCs w:val="26"/>
          <w:lang w:eastAsia="en-US"/>
        </w:rPr>
      </w:pPr>
      <w:r w:rsidRPr="004C5B21">
        <w:rPr>
          <w:noProof/>
        </w:rPr>
        <w:pict>
          <v:line id="Прямая соединительная линия 19" o:spid="_x0000_s1029" style="position:absolute;left:0;text-align:left;z-index:25165004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114085" w:rsidRPr="003D716F" w:rsidRDefault="004C5B21" w:rsidP="00114085">
      <w:pPr>
        <w:pBdr>
          <w:bottom w:val="single" w:sz="12" w:space="0" w:color="auto"/>
        </w:pBdr>
        <w:spacing w:before="240" w:after="120" w:line="276" w:lineRule="auto"/>
        <w:jc w:val="both"/>
        <w:rPr>
          <w:sz w:val="26"/>
          <w:szCs w:val="26"/>
          <w:lang w:eastAsia="en-US"/>
        </w:rPr>
      </w:pPr>
      <w:r w:rsidRPr="004C5B21">
        <w:rPr>
          <w:noProof/>
        </w:rPr>
        <w:pict>
          <v:line id="Прямая соединительная линия 18" o:spid="_x0000_s1028" style="position:absolute;left:0;text-align:left;z-index:25164902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0" w:name="_Toc400565214"/>
      <w:bookmarkStart w:id="51" w:name="_Toc401071245"/>
      <w:bookmarkStart w:id="52" w:name="_Toc401159035"/>
      <w:bookmarkStart w:id="53" w:name="_Toc526763670"/>
      <w:bookmarkStart w:id="54" w:name="_Toc528068372"/>
      <w:r w:rsidRPr="0092291F">
        <w:rPr>
          <w:rFonts w:ascii="Times New Roman" w:hAnsi="Times New Roman"/>
          <w:color w:val="auto"/>
          <w:sz w:val="28"/>
        </w:rPr>
        <w:lastRenderedPageBreak/>
        <w:t>Приложение 3</w:t>
      </w:r>
      <w:bookmarkEnd w:id="50"/>
      <w:r w:rsidRPr="0092291F">
        <w:rPr>
          <w:rFonts w:ascii="Times New Roman" w:hAnsi="Times New Roman"/>
          <w:color w:val="auto"/>
          <w:sz w:val="28"/>
        </w:rPr>
        <w:t>. Образец согласия  на обработку персональных данных</w:t>
      </w:r>
      <w:bookmarkEnd w:id="51"/>
      <w:bookmarkEnd w:id="52"/>
      <w:bookmarkEnd w:id="53"/>
      <w:bookmarkEnd w:id="54"/>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12411E" w:rsidP="00536BE9">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5" w:name="_Toc526763671"/>
      <w:bookmarkStart w:id="56" w:name="_Toc528068373"/>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5"/>
      <w:bookmarkEnd w:id="56"/>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w:t>
      </w:r>
      <w:r w:rsidR="00717C83"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00432265" w:rsidRPr="00EF6F09">
        <w:rPr>
          <w:sz w:val="26"/>
          <w:szCs w:val="26"/>
        </w:rPr>
        <w:lastRenderedPageBreak/>
        <w:t xml:space="preserve">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___________________(_____________________)«___»_______20__г.</w:t>
      </w:r>
    </w:p>
    <w:p w:rsidR="00D34E82" w:rsidRPr="00694165" w:rsidRDefault="00D34E82" w:rsidP="006B25FC">
      <w:pPr>
        <w:pStyle w:val="2"/>
        <w:jc w:val="both"/>
        <w:rPr>
          <w:rFonts w:ascii="Times New Roman" w:hAnsi="Times New Roman"/>
          <w:color w:val="auto"/>
          <w:sz w:val="28"/>
        </w:rPr>
      </w:pPr>
      <w:bookmarkStart w:id="57" w:name="_Toc526763672"/>
      <w:bookmarkStart w:id="58" w:name="_Toc52806837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7"/>
      <w:bookmarkEnd w:id="58"/>
    </w:p>
    <w:p w:rsidR="00D34E82" w:rsidRPr="0085563E" w:rsidRDefault="004C5B21" w:rsidP="00D34E82">
      <w:pPr>
        <w:spacing w:line="276" w:lineRule="auto"/>
        <w:ind w:firstLine="709"/>
        <w:jc w:val="both"/>
        <w:rPr>
          <w:b/>
          <w:i/>
          <w:noProof/>
          <w:sz w:val="26"/>
          <w:szCs w:val="26"/>
        </w:rPr>
      </w:pPr>
      <w:bookmarkStart w:id="59" w:name="_GoBack"/>
      <w:bookmarkEnd w:id="59"/>
      <w:r w:rsidRPr="004C5B21">
        <w:rPr>
          <w:noProof/>
          <w:sz w:val="26"/>
          <w:szCs w:val="26"/>
        </w:rPr>
        <w:pict>
          <v:rect id="Прямоугольник 3" o:spid="_x0000_s1027"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lastRenderedPageBreak/>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 xml:space="preserve">налистах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lastRenderedPageBreak/>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004C5B21" w:rsidRPr="006B25FC">
        <w:rPr>
          <w:sz w:val="26"/>
          <w:szCs w:val="26"/>
        </w:rPr>
        <w:fldChar w:fldCharType="begin"/>
      </w:r>
      <w:r w:rsidRPr="006B25FC">
        <w:rPr>
          <w:sz w:val="26"/>
          <w:szCs w:val="26"/>
        </w:rPr>
        <w:instrText xml:space="preserve"> REF _Ref403831962 \h  \* MERGEFORMAT </w:instrText>
      </w:r>
      <w:r w:rsidR="004C5B21" w:rsidRPr="006B25FC">
        <w:rPr>
          <w:sz w:val="26"/>
          <w:szCs w:val="26"/>
        </w:rPr>
      </w:r>
      <w:r w:rsidR="004C5B21" w:rsidRPr="006B25FC">
        <w:rPr>
          <w:sz w:val="26"/>
          <w:szCs w:val="26"/>
        </w:rPr>
        <w:fldChar w:fldCharType="separate"/>
      </w:r>
      <w:r w:rsidR="004F1DB0">
        <w:rPr>
          <w:b/>
          <w:bCs/>
          <w:sz w:val="26"/>
          <w:szCs w:val="26"/>
        </w:rPr>
        <w:t>Ошибка! Источник ссылки не найден.</w:t>
      </w:r>
      <w:r w:rsidR="004C5B21"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004C5B21" w:rsidRPr="006B25FC">
        <w:rPr>
          <w:bCs/>
          <w:i/>
        </w:rPr>
        <w:fldChar w:fldCharType="begin"/>
      </w:r>
      <w:r w:rsidRPr="006B25FC">
        <w:rPr>
          <w:bCs/>
          <w:i/>
        </w:rPr>
        <w:instrText xml:space="preserve"> SEQ Рисунок \* ARABIC </w:instrText>
      </w:r>
      <w:r w:rsidR="004C5B21" w:rsidRPr="006B25FC">
        <w:rPr>
          <w:bCs/>
          <w:i/>
        </w:rPr>
        <w:fldChar w:fldCharType="separate"/>
      </w:r>
      <w:r w:rsidR="004F1DB0">
        <w:rPr>
          <w:bCs/>
          <w:i/>
          <w:noProof/>
        </w:rPr>
        <w:t>1</w:t>
      </w:r>
      <w:r w:rsidR="004C5B21"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1E" w:rsidRDefault="0001741E" w:rsidP="005C21EF">
      <w:r>
        <w:separator/>
      </w:r>
    </w:p>
  </w:endnote>
  <w:endnote w:type="continuationSeparator" w:id="1">
    <w:p w:rsidR="0001741E" w:rsidRDefault="0001741E"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DF" w:rsidRDefault="004C5B21">
    <w:pPr>
      <w:pStyle w:val="af6"/>
      <w:jc w:val="right"/>
    </w:pPr>
    <w:r>
      <w:fldChar w:fldCharType="begin"/>
    </w:r>
    <w:r w:rsidR="009F0CDF">
      <w:instrText>PAGE   \* MERGEFORMAT</w:instrText>
    </w:r>
    <w:r>
      <w:fldChar w:fldCharType="separate"/>
    </w:r>
    <w:r w:rsidR="00852EB3">
      <w:rPr>
        <w:noProof/>
      </w:rPr>
      <w:t>32</w:t>
    </w:r>
    <w:r>
      <w:fldChar w:fldCharType="end"/>
    </w:r>
  </w:p>
  <w:p w:rsidR="009F0CDF" w:rsidRDefault="009F0CDF">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DF" w:rsidRDefault="004C5B21">
    <w:pPr>
      <w:pStyle w:val="af6"/>
      <w:jc w:val="right"/>
    </w:pPr>
    <w:r>
      <w:fldChar w:fldCharType="begin"/>
    </w:r>
    <w:r w:rsidR="009F0CDF">
      <w:instrText>PAGE   \* MERGEFORMAT</w:instrText>
    </w:r>
    <w:r>
      <w:fldChar w:fldCharType="separate"/>
    </w:r>
    <w:r w:rsidR="00852EB3">
      <w:rPr>
        <w:noProof/>
      </w:rPr>
      <w:t>51</w:t>
    </w:r>
    <w:r>
      <w:fldChar w:fldCharType="end"/>
    </w:r>
  </w:p>
  <w:p w:rsidR="009F0CDF" w:rsidRDefault="009F0CDF">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DF" w:rsidRDefault="009F0CDF">
    <w:pPr>
      <w:pStyle w:val="af6"/>
      <w:jc w:val="right"/>
    </w:pPr>
  </w:p>
  <w:p w:rsidR="009F0CDF" w:rsidRDefault="009F0CD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1E" w:rsidRDefault="0001741E" w:rsidP="005C21EF">
      <w:r>
        <w:separator/>
      </w:r>
    </w:p>
  </w:footnote>
  <w:footnote w:type="continuationSeparator" w:id="1">
    <w:p w:rsidR="0001741E" w:rsidRDefault="0001741E" w:rsidP="005C21EF">
      <w:r>
        <w:continuationSeparator/>
      </w:r>
    </w:p>
  </w:footnote>
  <w:footnote w:id="2">
    <w:p w:rsidR="009F0CDF" w:rsidRPr="006B25FC" w:rsidRDefault="009F0CDF"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4">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6">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7">
    <w:p w:rsidR="009F0CDF" w:rsidRPr="006B25FC" w:rsidRDefault="009F0CDF" w:rsidP="005B40EB">
      <w:pPr>
        <w:pStyle w:val="a9"/>
        <w:ind w:firstLine="284"/>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p>
  </w:footnote>
  <w:footnote w:id="9">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10">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1">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DF" w:rsidRDefault="009F0CDF"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rsids>
    <w:rsidRoot w:val="00D80171"/>
    <w:rsid w:val="00002611"/>
    <w:rsid w:val="00002ECB"/>
    <w:rsid w:val="00003910"/>
    <w:rsid w:val="00004FCA"/>
    <w:rsid w:val="00005C60"/>
    <w:rsid w:val="00015233"/>
    <w:rsid w:val="0001741E"/>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39DA"/>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C5B21"/>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2EB3"/>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3D02"/>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B37E-3F41-47C6-9BBE-E336C809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14838</Words>
  <Characters>84583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юра</cp:lastModifiedBy>
  <cp:revision>2</cp:revision>
  <cp:lastPrinted>2018-10-23T12:18:00Z</cp:lastPrinted>
  <dcterms:created xsi:type="dcterms:W3CDTF">2018-11-21T14:06:00Z</dcterms:created>
  <dcterms:modified xsi:type="dcterms:W3CDTF">2018-11-21T14:06:00Z</dcterms:modified>
</cp:coreProperties>
</file>