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2E" w:rsidRPr="004C2EAD" w:rsidRDefault="00CB5F2E" w:rsidP="003162A1">
      <w:pPr>
        <w:ind w:firstLine="709"/>
        <w:jc w:val="both"/>
        <w:rPr>
          <w:b/>
          <w:sz w:val="28"/>
          <w:szCs w:val="28"/>
        </w:rPr>
      </w:pPr>
      <w:bookmarkStart w:id="0" w:name="_GoBack"/>
      <w:bookmarkEnd w:id="0"/>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8562BD">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00787822"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Pr="00CF4092">
              <w:rPr>
                <w:rFonts w:ascii="Times New Roman" w:hAnsi="Times New Roman"/>
                <w:b w:val="0"/>
                <w:noProof/>
                <w:webHidden/>
                <w:sz w:val="26"/>
                <w:szCs w:val="26"/>
              </w:rPr>
              <w:fldChar w:fldCharType="end"/>
            </w:r>
          </w:hyperlink>
        </w:p>
        <w:p w:rsidR="00CF4092" w:rsidRPr="00CF4092" w:rsidRDefault="008562BD">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Pr="00CF4092">
              <w:rPr>
                <w:rFonts w:ascii="Times New Roman" w:hAnsi="Times New Roman"/>
                <w:b w:val="0"/>
                <w:noProof/>
                <w:webHidden/>
                <w:sz w:val="26"/>
                <w:szCs w:val="26"/>
              </w:rPr>
            </w:r>
            <w:r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Pr="00CF4092">
              <w:rPr>
                <w:rFonts w:ascii="Times New Roman" w:hAnsi="Times New Roman"/>
                <w:b w:val="0"/>
                <w:noProof/>
                <w:webHidden/>
                <w:sz w:val="26"/>
                <w:szCs w:val="26"/>
              </w:rPr>
              <w:fldChar w:fldCharType="end"/>
            </w:r>
          </w:hyperlink>
        </w:p>
        <w:p w:rsidR="00787822" w:rsidRDefault="008562BD"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3" w:name="_Toc400565095"/>
      <w:bookmarkStart w:id="4" w:name="_Toc400565151"/>
      <w:bookmarkEnd w:id="2"/>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 xml:space="preserve">.2настоящих Методических рекомендаций, самостоятельно выбирают </w:t>
      </w:r>
      <w:r w:rsidR="003559AB">
        <w:rPr>
          <w:sz w:val="26"/>
          <w:szCs w:val="26"/>
        </w:rPr>
        <w:t>дату</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w:t>
      </w:r>
      <w:r w:rsidRPr="003E1272">
        <w:rPr>
          <w:rFonts w:eastAsia="Calibri"/>
          <w:sz w:val="26"/>
          <w:szCs w:val="26"/>
        </w:rPr>
        <w:lastRenderedPageBreak/>
        <w:t>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Pr="00E212FA">
        <w:rPr>
          <w:sz w:val="26"/>
          <w:szCs w:val="26"/>
        </w:rPr>
        <w:t>организаци</w:t>
      </w:r>
      <w:r w:rsidR="00655636">
        <w:rPr>
          <w:sz w:val="26"/>
          <w:szCs w:val="26"/>
        </w:rPr>
        <w:t>и</w:t>
      </w:r>
      <w:r w:rsidR="00765CF2">
        <w:rPr>
          <w:sz w:val="26"/>
          <w:szCs w:val="26"/>
        </w:rPr>
        <w:t xml:space="preserve">или </w:t>
      </w:r>
      <w:r w:rsidR="00765CF2" w:rsidRPr="00A7339B">
        <w:rPr>
          <w:sz w:val="26"/>
          <w:szCs w:val="26"/>
        </w:rPr>
        <w:t>комиссии по проведению итогового сочинения</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w:t>
      </w:r>
      <w:r w:rsidRPr="000F36EC">
        <w:rPr>
          <w:sz w:val="26"/>
          <w:szCs w:val="26"/>
        </w:rPr>
        <w:lastRenderedPageBreak/>
        <w:t>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2"/>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Pr="000F36EC">
        <w:rPr>
          <w:sz w:val="26"/>
          <w:szCs w:val="26"/>
        </w:rPr>
        <w:t>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w:t>
      </w:r>
      <w:r w:rsidRPr="000F36EC">
        <w:rPr>
          <w:sz w:val="26"/>
          <w:szCs w:val="26"/>
        </w:rPr>
        <w:lastRenderedPageBreak/>
        <w:t xml:space="preserve">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w:t>
      </w:r>
      <w:r w:rsidRPr="000F36EC">
        <w:rPr>
          <w:sz w:val="26"/>
          <w:szCs w:val="26"/>
        </w:rPr>
        <w:lastRenderedPageBreak/>
        <w:t xml:space="preserve">комиссии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Pr="000F36EC">
        <w:rPr>
          <w:sz w:val="26"/>
          <w:szCs w:val="26"/>
        </w:rPr>
        <w:t>в бланки записи</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Pr="000F36EC">
        <w:rPr>
          <w:sz w:val="26"/>
          <w:szCs w:val="26"/>
        </w:rPr>
        <w:t>итогового сочинения (изложения) и собирают у  участников итогового сочинения (изложения)бланки регистрации, бланки записи</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Pr="000F36EC">
        <w:rPr>
          <w:sz w:val="26"/>
          <w:szCs w:val="26"/>
        </w:rPr>
        <w:t>ставят «Z» на полях бланков записи, оставшихся незаполненными (в том числе и на его оборотной стороне</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w:t>
      </w:r>
      <w:r w:rsidRPr="005A3D54">
        <w:rPr>
          <w:rFonts w:eastAsia="Calibri"/>
          <w:sz w:val="26"/>
          <w:szCs w:val="26"/>
        </w:rPr>
        <w:lastRenderedPageBreak/>
        <w:t xml:space="preserve">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овзаписи</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lastRenderedPageBreak/>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w:t>
      </w:r>
      <w:r w:rsidRPr="00E37406">
        <w:rPr>
          <w:rFonts w:eastAsia="Calibri"/>
          <w:sz w:val="26"/>
          <w:szCs w:val="26"/>
        </w:rPr>
        <w:lastRenderedPageBreak/>
        <w:t>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 xml:space="preserve">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Pr="00667BFB">
        <w:rPr>
          <w:sz w:val="26"/>
          <w:szCs w:val="26"/>
        </w:rPr>
        <w:t xml:space="preserve">учебного года </w:t>
      </w:r>
      <w:r w:rsidRPr="00667BFB">
        <w:rPr>
          <w:sz w:val="26"/>
          <w:szCs w:val="26"/>
        </w:rPr>
        <w:lastRenderedPageBreak/>
        <w:t xml:space="preserve">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w:t>
            </w:r>
            <w:r w:rsidRPr="00661C27">
              <w:rPr>
                <w:sz w:val="26"/>
                <w:szCs w:val="26"/>
              </w:rPr>
              <w:lastRenderedPageBreak/>
              <w:t>представления выпускников о предназначении 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w:t>
      </w:r>
      <w:r w:rsidRPr="007E6BCE">
        <w:rPr>
          <w:sz w:val="26"/>
          <w:szCs w:val="26"/>
        </w:rPr>
        <w:lastRenderedPageBreak/>
        <w:t xml:space="preserve">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00661C27" w:rsidRPr="00661C27">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8562BD"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562BD"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8562BD" w:rsidP="00CF6CEB">
      <w:pPr>
        <w:spacing w:before="240" w:after="120" w:line="276" w:lineRule="auto"/>
        <w:jc w:val="both"/>
        <w:rPr>
          <w:szCs w:val="26"/>
          <w:lang w:eastAsia="en-US"/>
        </w:rPr>
      </w:pPr>
      <w:r w:rsidRPr="008562BD">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562BD" w:rsidP="00CF6CEB">
      <w:pPr>
        <w:pBdr>
          <w:bottom w:val="single" w:sz="12" w:space="0" w:color="auto"/>
        </w:pBdr>
        <w:spacing w:before="240" w:after="120" w:line="276" w:lineRule="auto"/>
        <w:jc w:val="both"/>
        <w:rPr>
          <w:sz w:val="26"/>
          <w:szCs w:val="26"/>
          <w:lang w:eastAsia="en-US"/>
        </w:rPr>
      </w:pPr>
      <w:r w:rsidRPr="008562BD">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8562BD">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8562BD" w:rsidP="00CF6CEB">
      <w:pPr>
        <w:pBdr>
          <w:bottom w:val="single" w:sz="12" w:space="0" w:color="auto"/>
        </w:pBdr>
        <w:spacing w:before="240" w:after="120" w:line="276" w:lineRule="auto"/>
        <w:jc w:val="both"/>
        <w:rPr>
          <w:sz w:val="26"/>
          <w:szCs w:val="26"/>
          <w:lang w:eastAsia="en-US"/>
        </w:rPr>
      </w:pPr>
      <w:r w:rsidRPr="008562BD">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562BD" w:rsidP="00CF6CEB">
      <w:pPr>
        <w:pBdr>
          <w:bottom w:val="single" w:sz="12" w:space="0" w:color="auto"/>
        </w:pBdr>
        <w:spacing w:before="240" w:after="120" w:line="276" w:lineRule="auto"/>
        <w:jc w:val="both"/>
        <w:rPr>
          <w:sz w:val="26"/>
          <w:szCs w:val="26"/>
          <w:lang w:eastAsia="en-US"/>
        </w:rPr>
      </w:pPr>
      <w:r w:rsidRPr="008562BD">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8562BD" w:rsidP="00CF4092">
      <w:pPr>
        <w:jc w:val="both"/>
        <w:rPr>
          <w:sz w:val="26"/>
          <w:szCs w:val="26"/>
        </w:rPr>
      </w:pPr>
      <w:r>
        <w:rPr>
          <w:noProof/>
          <w:sz w:val="26"/>
          <w:szCs w:val="26"/>
        </w:rPr>
        <w:pict>
          <v:rect id="Rectangle 60"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w:r>
      <w:r w:rsidR="00CF4092">
        <w:rPr>
          <w:sz w:val="26"/>
          <w:szCs w:val="26"/>
        </w:rPr>
        <w:t>в первую среду декабря;</w:t>
      </w:r>
    </w:p>
    <w:p w:rsidR="00CF4092" w:rsidRDefault="008562BD" w:rsidP="00CF4092">
      <w:pPr>
        <w:jc w:val="both"/>
        <w:rPr>
          <w:sz w:val="26"/>
          <w:szCs w:val="26"/>
        </w:rPr>
      </w:pPr>
      <w:r>
        <w:rPr>
          <w:noProof/>
          <w:sz w:val="26"/>
          <w:szCs w:val="26"/>
        </w:rPr>
        <w:pict>
          <v:rect id="Rectangle 59"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w:r>
    </w:p>
    <w:p w:rsidR="00CF4092" w:rsidRDefault="00CF4092" w:rsidP="00CF4092">
      <w:pPr>
        <w:jc w:val="both"/>
        <w:rPr>
          <w:sz w:val="26"/>
          <w:szCs w:val="26"/>
        </w:rPr>
      </w:pPr>
      <w:r>
        <w:rPr>
          <w:sz w:val="26"/>
          <w:szCs w:val="26"/>
        </w:rPr>
        <w:t xml:space="preserve">         в первую среду февраля;</w:t>
      </w:r>
    </w:p>
    <w:p w:rsidR="00CF4092" w:rsidRDefault="008562BD" w:rsidP="00CF4092">
      <w:pPr>
        <w:jc w:val="both"/>
        <w:rPr>
          <w:sz w:val="26"/>
          <w:szCs w:val="26"/>
        </w:rPr>
      </w:pPr>
      <w:r>
        <w:rPr>
          <w:noProof/>
          <w:sz w:val="26"/>
          <w:szCs w:val="26"/>
        </w:rPr>
        <w:pict>
          <v:rect id="Rectangle 58"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F7006E">
        <w:rPr>
          <w:sz w:val="26"/>
          <w:szCs w:val="26"/>
          <w:lang w:eastAsia="en-US"/>
        </w:rPr>
        <w:t xml:space="preserve">создать </w:t>
      </w:r>
      <w:r w:rsidRPr="003D716F">
        <w:rPr>
          <w:sz w:val="26"/>
          <w:szCs w:val="26"/>
          <w:lang w:eastAsia="en-US"/>
        </w:rPr>
        <w:t>условия,учитывающие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8562BD" w:rsidP="00CF4092">
      <w:pPr>
        <w:pBdr>
          <w:bottom w:val="single" w:sz="12" w:space="1" w:color="auto"/>
        </w:pBdr>
        <w:spacing w:before="240" w:after="120" w:line="276" w:lineRule="auto"/>
        <w:jc w:val="both"/>
      </w:pPr>
      <w:r>
        <w:rPr>
          <w:noProof/>
        </w:rPr>
        <w:pict>
          <v:rect id="Прямоугольник 6"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w:r>
      <w:r w:rsidR="00CF4092" w:rsidRPr="003D716F">
        <w:t xml:space="preserve">        Копией рекомендаций психолого-медико-педагогической комиссии</w:t>
      </w:r>
    </w:p>
    <w:p w:rsidR="00CF4092" w:rsidRPr="003D716F" w:rsidRDefault="008562BD" w:rsidP="00CF4092">
      <w:pPr>
        <w:pBdr>
          <w:bottom w:val="single" w:sz="12" w:space="1" w:color="auto"/>
        </w:pBdr>
        <w:spacing w:before="240" w:after="120" w:line="360" w:lineRule="auto"/>
        <w:jc w:val="both"/>
        <w:rPr>
          <w:sz w:val="26"/>
          <w:szCs w:val="26"/>
          <w:lang w:eastAsia="en-US"/>
        </w:rPr>
      </w:pPr>
      <w:r w:rsidRPr="008562BD">
        <w:rPr>
          <w:noProof/>
        </w:rPr>
        <w:lastRenderedPageBreak/>
        <w:pict>
          <v:rect id="Прямоугольник 7"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w:r>
      <w:r w:rsidR="00CF4092"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4092" w:rsidRPr="003D716F" w:rsidRDefault="008562BD" w:rsidP="00CF4092">
      <w:pPr>
        <w:spacing w:before="240" w:after="120" w:line="276" w:lineRule="auto"/>
        <w:jc w:val="both"/>
        <w:rPr>
          <w:szCs w:val="26"/>
          <w:lang w:eastAsia="en-US"/>
        </w:rPr>
      </w:pPr>
      <w:r w:rsidRPr="008562BD">
        <w:rPr>
          <w:noProof/>
        </w:rPr>
        <w:pict>
          <v:rect id="Прямоугольник 9"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w:r>
      <w:r w:rsidR="00CF4092" w:rsidRPr="003D716F">
        <w:rPr>
          <w:szCs w:val="26"/>
          <w:lang w:eastAsia="en-US"/>
        </w:rPr>
        <w:t xml:space="preserve">       Увеличение продолжительности </w:t>
      </w:r>
      <w:r w:rsidR="00CF4092">
        <w:rPr>
          <w:szCs w:val="26"/>
          <w:lang w:eastAsia="en-US"/>
        </w:rPr>
        <w:t xml:space="preserve">написания итогового сочинения (изложения) </w:t>
      </w:r>
      <w:r w:rsidR="00CF4092" w:rsidRPr="003D716F">
        <w:rPr>
          <w:szCs w:val="26"/>
          <w:lang w:eastAsia="en-US"/>
        </w:rPr>
        <w:t xml:space="preserve"> на 1,5 часа</w:t>
      </w:r>
    </w:p>
    <w:p w:rsidR="00CF4092" w:rsidRPr="003D716F" w:rsidRDefault="008562BD" w:rsidP="00CF4092">
      <w:pPr>
        <w:pBdr>
          <w:bottom w:val="single" w:sz="12" w:space="0" w:color="auto"/>
        </w:pBdr>
        <w:spacing w:before="240" w:after="120" w:line="276" w:lineRule="auto"/>
        <w:jc w:val="both"/>
        <w:rPr>
          <w:sz w:val="26"/>
          <w:szCs w:val="26"/>
          <w:lang w:eastAsia="en-US"/>
        </w:rPr>
      </w:pPr>
      <w:r w:rsidRPr="008562BD">
        <w:rPr>
          <w:noProof/>
        </w:rPr>
        <w:pict>
          <v:rect id="Прямоугольник 17"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8562BD">
        <w:rPr>
          <w:noProof/>
        </w:rPr>
        <w:pict>
          <v:line id="Прямая соединительная линия 2"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w:r>
    </w:p>
    <w:p w:rsidR="00CF4092" w:rsidRPr="003D716F" w:rsidRDefault="008562BD" w:rsidP="00CF4092">
      <w:pPr>
        <w:pBdr>
          <w:bottom w:val="single" w:sz="12" w:space="0" w:color="auto"/>
        </w:pBdr>
        <w:spacing w:before="240" w:after="120" w:line="276" w:lineRule="auto"/>
        <w:jc w:val="both"/>
        <w:rPr>
          <w:sz w:val="26"/>
          <w:szCs w:val="26"/>
          <w:lang w:eastAsia="en-US"/>
        </w:rPr>
      </w:pPr>
      <w:r w:rsidRPr="008562BD">
        <w:rPr>
          <w:noProof/>
        </w:rPr>
        <w:pict>
          <v:line id="Прямая соединительная линия 19"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CF4092" w:rsidRPr="003D716F" w:rsidRDefault="008562BD" w:rsidP="00CF4092">
      <w:pPr>
        <w:pBdr>
          <w:bottom w:val="single" w:sz="12" w:space="0" w:color="auto"/>
        </w:pBdr>
        <w:spacing w:before="240" w:after="120" w:line="276" w:lineRule="auto"/>
        <w:jc w:val="both"/>
        <w:rPr>
          <w:sz w:val="26"/>
          <w:szCs w:val="26"/>
          <w:lang w:eastAsia="en-US"/>
        </w:rPr>
      </w:pPr>
      <w:r w:rsidRPr="008562BD">
        <w:rPr>
          <w:noProof/>
        </w:rPr>
        <w:pict>
          <v:line id="Прямая соединительная линия 18"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Pr>
          <w:i/>
          <w:sz w:val="22"/>
          <w:szCs w:val="22"/>
          <w:lang w:eastAsia="en-US"/>
        </w:rPr>
        <w:t>,</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C9F" w:rsidRDefault="00630C9F" w:rsidP="005C21EF">
      <w:r>
        <w:separator/>
      </w:r>
    </w:p>
  </w:endnote>
  <w:endnote w:type="continuationSeparator" w:id="1">
    <w:p w:rsidR="00630C9F" w:rsidRDefault="00630C9F"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A26E86" w:rsidRDefault="008562BD">
        <w:pPr>
          <w:pStyle w:val="af6"/>
          <w:jc w:val="right"/>
        </w:pPr>
        <w:r>
          <w:fldChar w:fldCharType="begin"/>
        </w:r>
        <w:r w:rsidR="00A26E86">
          <w:instrText>PAGE   \* MERGEFORMAT</w:instrText>
        </w:r>
        <w:r>
          <w:fldChar w:fldCharType="separate"/>
        </w:r>
        <w:r w:rsidR="00A478A0">
          <w:rPr>
            <w:noProof/>
          </w:rPr>
          <w:t>29</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C9F" w:rsidRDefault="00630C9F" w:rsidP="005C21EF">
      <w:r>
        <w:separator/>
      </w:r>
    </w:p>
  </w:footnote>
  <w:footnote w:type="continuationSeparator" w:id="1">
    <w:p w:rsidR="00630C9F" w:rsidRDefault="00630C9F" w:rsidP="005C21EF">
      <w:r>
        <w:continuationSeparator/>
      </w:r>
    </w:p>
  </w:footnote>
  <w:footnote w:id="2">
    <w:p w:rsidR="00A26E86" w:rsidRPr="00667BFB" w:rsidRDefault="00A26E86" w:rsidP="00667BFB">
      <w:pPr>
        <w:pStyle w:val="a9"/>
        <w:jc w:val="both"/>
        <w:rPr>
          <w:sz w:val="22"/>
          <w:szCs w:val="22"/>
        </w:rPr>
      </w:pPr>
      <w:r>
        <w:rPr>
          <w:rStyle w:val="ab"/>
        </w:rPr>
        <w:footnoteRef/>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3">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E024D"/>
    <w:rsid w:val="001F7F6A"/>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0C9F"/>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562B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478A0"/>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07D2"/>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BCCA-5AEB-4EAD-A33C-233D1FD7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8737</Words>
  <Characters>49807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юра</cp:lastModifiedBy>
  <cp:revision>2</cp:revision>
  <cp:lastPrinted>2018-10-23T13:58:00Z</cp:lastPrinted>
  <dcterms:created xsi:type="dcterms:W3CDTF">2018-11-21T14:08:00Z</dcterms:created>
  <dcterms:modified xsi:type="dcterms:W3CDTF">2018-11-21T14:08:00Z</dcterms:modified>
</cp:coreProperties>
</file>